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04" w:rsidRPr="00700448" w:rsidRDefault="00440204" w:rsidP="00440204">
      <w:pPr>
        <w:jc w:val="both"/>
        <w:rPr>
          <w:rFonts w:ascii="Verdana" w:hAnsi="Verdana"/>
          <w:sz w:val="22"/>
          <w:szCs w:val="22"/>
        </w:rPr>
      </w:pPr>
      <w:r w:rsidRPr="00700448">
        <w:rPr>
          <w:rFonts w:ascii="Verdana" w:hAnsi="Verdana"/>
          <w:sz w:val="22"/>
          <w:szCs w:val="22"/>
        </w:rPr>
        <w:t>Kommissorium for</w:t>
      </w:r>
    </w:p>
    <w:p w:rsidR="00440204" w:rsidRPr="00700448" w:rsidRDefault="00440204" w:rsidP="00440204">
      <w:pPr>
        <w:jc w:val="both"/>
        <w:rPr>
          <w:rFonts w:ascii="Verdana" w:hAnsi="Verdana"/>
          <w:b/>
          <w:sz w:val="24"/>
        </w:rPr>
      </w:pPr>
    </w:p>
    <w:p w:rsidR="00440204" w:rsidRPr="00700448" w:rsidRDefault="00440204" w:rsidP="00440204">
      <w:pPr>
        <w:jc w:val="both"/>
        <w:rPr>
          <w:rFonts w:ascii="Verdana" w:hAnsi="Verdana"/>
          <w:b/>
          <w:sz w:val="24"/>
        </w:rPr>
      </w:pPr>
    </w:p>
    <w:p w:rsidR="00440204" w:rsidRPr="00700448" w:rsidRDefault="00440204" w:rsidP="00440204">
      <w:pPr>
        <w:jc w:val="both"/>
        <w:rPr>
          <w:rFonts w:ascii="Verdana" w:hAnsi="Verdana"/>
          <w:b/>
          <w:sz w:val="24"/>
        </w:rPr>
      </w:pPr>
    </w:p>
    <w:p w:rsidR="00440204" w:rsidRPr="00700448" w:rsidRDefault="00700448" w:rsidP="00700448">
      <w:pPr>
        <w:rPr>
          <w:rFonts w:ascii="Verdana" w:hAnsi="Verdana"/>
          <w:b/>
          <w:sz w:val="22"/>
          <w:szCs w:val="22"/>
        </w:rPr>
      </w:pPr>
      <w:r w:rsidRPr="00700448">
        <w:rPr>
          <w:rFonts w:ascii="Verdana" w:hAnsi="Verdana"/>
          <w:b/>
          <w:sz w:val="22"/>
          <w:szCs w:val="22"/>
        </w:rPr>
        <w:t xml:space="preserve">Dansk </w:t>
      </w:r>
      <w:proofErr w:type="gramStart"/>
      <w:r w:rsidRPr="00700448">
        <w:rPr>
          <w:rFonts w:ascii="Verdana" w:hAnsi="Verdana"/>
          <w:b/>
          <w:sz w:val="22"/>
          <w:szCs w:val="22"/>
        </w:rPr>
        <w:t xml:space="preserve">Aktionærforenings </w:t>
      </w:r>
      <w:r w:rsidR="00440204" w:rsidRPr="00700448">
        <w:rPr>
          <w:rFonts w:ascii="Verdana" w:hAnsi="Verdana"/>
          <w:b/>
          <w:sz w:val="22"/>
          <w:szCs w:val="22"/>
        </w:rPr>
        <w:t xml:space="preserve"> generalforsamlingsudvalg</w:t>
      </w:r>
      <w:proofErr w:type="gramEnd"/>
      <w:r w:rsidRPr="00700448">
        <w:rPr>
          <w:rFonts w:ascii="Verdana" w:hAnsi="Verdana"/>
          <w:b/>
          <w:sz w:val="22"/>
          <w:szCs w:val="22"/>
        </w:rPr>
        <w:t>.</w:t>
      </w:r>
    </w:p>
    <w:p w:rsidR="00440204" w:rsidRPr="00700448" w:rsidRDefault="00440204" w:rsidP="00440204">
      <w:pPr>
        <w:rPr>
          <w:rFonts w:ascii="Verdana" w:hAnsi="Verdana"/>
          <w:b/>
          <w:sz w:val="28"/>
          <w:szCs w:val="28"/>
        </w:rPr>
      </w:pPr>
    </w:p>
    <w:p w:rsidR="00440204" w:rsidRPr="00700448" w:rsidRDefault="00440204" w:rsidP="00440204">
      <w:pPr>
        <w:pStyle w:val="Listeafsnit"/>
        <w:ind w:left="1080"/>
        <w:rPr>
          <w:rFonts w:ascii="Verdana" w:hAnsi="Verdana"/>
          <w:b/>
          <w:sz w:val="28"/>
          <w:szCs w:val="28"/>
        </w:rPr>
      </w:pPr>
    </w:p>
    <w:p w:rsidR="00440204" w:rsidRPr="00700448" w:rsidRDefault="00440204" w:rsidP="00440204">
      <w:pPr>
        <w:pStyle w:val="Listeafsnit"/>
        <w:numPr>
          <w:ilvl w:val="0"/>
          <w:numId w:val="2"/>
        </w:numPr>
        <w:rPr>
          <w:rFonts w:ascii="Verdana" w:hAnsi="Verdana"/>
          <w:b/>
          <w:sz w:val="22"/>
          <w:szCs w:val="22"/>
        </w:rPr>
      </w:pPr>
      <w:r w:rsidRPr="00700448">
        <w:rPr>
          <w:rFonts w:ascii="Verdana" w:hAnsi="Verdana"/>
          <w:b/>
          <w:sz w:val="22"/>
          <w:szCs w:val="22"/>
        </w:rPr>
        <w:t>Formål.</w:t>
      </w:r>
    </w:p>
    <w:p w:rsidR="00440204" w:rsidRPr="00700448" w:rsidRDefault="00440204" w:rsidP="00440204">
      <w:pPr>
        <w:pStyle w:val="Brdtekst2"/>
        <w:ind w:left="1080"/>
        <w:rPr>
          <w:rFonts w:ascii="Verdana" w:hAnsi="Verdana"/>
          <w:b/>
          <w:sz w:val="28"/>
          <w:szCs w:val="28"/>
        </w:rPr>
      </w:pPr>
    </w:p>
    <w:p w:rsidR="00440204" w:rsidRPr="00700448" w:rsidRDefault="00440204" w:rsidP="00440204">
      <w:pPr>
        <w:pStyle w:val="Brdtekst2"/>
        <w:ind w:left="1080"/>
        <w:rPr>
          <w:rFonts w:ascii="Verdana" w:hAnsi="Verdana"/>
          <w:sz w:val="20"/>
        </w:rPr>
      </w:pPr>
      <w:r w:rsidRPr="00700448">
        <w:rPr>
          <w:rFonts w:ascii="Verdana" w:hAnsi="Verdana"/>
          <w:sz w:val="20"/>
        </w:rPr>
        <w:t>Udvalg</w:t>
      </w:r>
      <w:r w:rsidR="00A91C37">
        <w:rPr>
          <w:rFonts w:ascii="Verdana" w:hAnsi="Verdana"/>
          <w:sz w:val="20"/>
        </w:rPr>
        <w:t>ets formål er, at synliggøre Dansk Aktionærforening</w:t>
      </w:r>
      <w:r w:rsidRPr="00700448">
        <w:rPr>
          <w:rFonts w:ascii="Verdana" w:hAnsi="Verdana"/>
          <w:sz w:val="20"/>
        </w:rPr>
        <w:t xml:space="preserve"> og dets medlemmers interesser på de børsnoterede selskabers og investerings</w:t>
      </w:r>
      <w:r w:rsidR="00A91C37">
        <w:rPr>
          <w:rFonts w:ascii="Verdana" w:hAnsi="Verdana"/>
          <w:sz w:val="20"/>
        </w:rPr>
        <w:t>foreningers generalforsamlinger som foreningen vælger at deltage på.</w:t>
      </w:r>
    </w:p>
    <w:p w:rsidR="00440204" w:rsidRPr="00700448" w:rsidRDefault="00440204" w:rsidP="00440204">
      <w:pPr>
        <w:pStyle w:val="Brdtekst2"/>
        <w:rPr>
          <w:rFonts w:ascii="Verdana" w:hAnsi="Verdana"/>
          <w:szCs w:val="24"/>
        </w:rPr>
      </w:pPr>
    </w:p>
    <w:p w:rsidR="00440204" w:rsidRPr="00700448" w:rsidRDefault="00440204" w:rsidP="00440204">
      <w:pPr>
        <w:pStyle w:val="Brdtekst2"/>
        <w:rPr>
          <w:rFonts w:ascii="Verdana" w:hAnsi="Verdana"/>
          <w:szCs w:val="24"/>
        </w:rPr>
      </w:pPr>
    </w:p>
    <w:p w:rsidR="00440204" w:rsidRPr="00700448" w:rsidRDefault="00440204" w:rsidP="00440204">
      <w:pPr>
        <w:pStyle w:val="Brdtekst2"/>
        <w:numPr>
          <w:ilvl w:val="0"/>
          <w:numId w:val="2"/>
        </w:numPr>
        <w:rPr>
          <w:rFonts w:ascii="Verdana" w:hAnsi="Verdana"/>
          <w:b/>
          <w:sz w:val="22"/>
          <w:szCs w:val="22"/>
        </w:rPr>
      </w:pPr>
      <w:r w:rsidRPr="00700448">
        <w:rPr>
          <w:rFonts w:ascii="Verdana" w:hAnsi="Verdana"/>
          <w:b/>
          <w:sz w:val="22"/>
          <w:szCs w:val="22"/>
        </w:rPr>
        <w:t>Opgave og aktiviteter.</w:t>
      </w:r>
      <w:bookmarkStart w:id="0" w:name="_GoBack"/>
      <w:bookmarkEnd w:id="0"/>
    </w:p>
    <w:p w:rsidR="00440204" w:rsidRPr="00700448" w:rsidRDefault="00440204" w:rsidP="00440204">
      <w:pPr>
        <w:pStyle w:val="Brdtekst2"/>
        <w:ind w:left="1080"/>
        <w:rPr>
          <w:rFonts w:ascii="Verdana" w:hAnsi="Verdana"/>
          <w:b/>
          <w:szCs w:val="24"/>
        </w:rPr>
      </w:pPr>
    </w:p>
    <w:p w:rsidR="00086BCB" w:rsidRPr="00700448" w:rsidRDefault="00086BCB" w:rsidP="00440204">
      <w:pPr>
        <w:ind w:left="1080"/>
        <w:jc w:val="both"/>
        <w:rPr>
          <w:rFonts w:ascii="Verdana" w:hAnsi="Verdana"/>
        </w:rPr>
      </w:pPr>
      <w:r w:rsidRPr="00700448">
        <w:rPr>
          <w:rFonts w:ascii="Verdana" w:hAnsi="Verdana"/>
        </w:rPr>
        <w:t xml:space="preserve">Foreningens bestyrelse </w:t>
      </w:r>
      <w:r w:rsidR="002515FB" w:rsidRPr="00700448">
        <w:rPr>
          <w:rFonts w:ascii="Verdana" w:hAnsi="Verdana"/>
        </w:rPr>
        <w:t xml:space="preserve">vælger de relevante temaer og mærkesager som </w:t>
      </w:r>
      <w:r w:rsidRPr="00700448">
        <w:rPr>
          <w:rFonts w:ascii="Verdana" w:hAnsi="Verdana"/>
        </w:rPr>
        <w:t xml:space="preserve">medlemmerne af udvalget </w:t>
      </w:r>
      <w:r w:rsidR="001319DD">
        <w:rPr>
          <w:rFonts w:ascii="Verdana" w:hAnsi="Verdana"/>
        </w:rPr>
        <w:t>forventes</w:t>
      </w:r>
      <w:r w:rsidRPr="00700448">
        <w:rPr>
          <w:rFonts w:ascii="Verdana" w:hAnsi="Verdana"/>
        </w:rPr>
        <w:t xml:space="preserve"> at fokusere på i forbindelse med deres deltagelse på generalforsamlingerne. </w:t>
      </w:r>
      <w:r w:rsidR="009C6C63">
        <w:rPr>
          <w:rFonts w:ascii="Verdana" w:hAnsi="Verdana"/>
        </w:rPr>
        <w:t>Bestyrelsen fastsætter endvidere vejledningen/instruktionen for, hvordan medlemmerne bedst muligt udfylder rollen som foreningens repræsentanter på de valgte og tildelte generalforsamlinger.</w:t>
      </w:r>
    </w:p>
    <w:p w:rsidR="00086BCB" w:rsidRPr="00700448" w:rsidRDefault="00086BCB" w:rsidP="00440204">
      <w:pPr>
        <w:ind w:left="1080"/>
        <w:jc w:val="both"/>
        <w:rPr>
          <w:rFonts w:ascii="Verdana" w:hAnsi="Verdana"/>
        </w:rPr>
      </w:pPr>
    </w:p>
    <w:p w:rsidR="00086BCB" w:rsidRPr="00700448" w:rsidRDefault="00086BCB" w:rsidP="00440204">
      <w:pPr>
        <w:ind w:left="1080"/>
        <w:jc w:val="both"/>
        <w:rPr>
          <w:rFonts w:ascii="Verdana" w:hAnsi="Verdana"/>
        </w:rPr>
      </w:pPr>
      <w:r w:rsidRPr="00700448">
        <w:rPr>
          <w:rFonts w:ascii="Verdana" w:hAnsi="Verdana"/>
        </w:rPr>
        <w:t>Udvalget drøfter på sine møder disse og andre emner med det formål, at alle medlemmer har en god forståelse af temaerne og mærkesagernes relevans og baggrund.</w:t>
      </w:r>
    </w:p>
    <w:p w:rsidR="00BB4E79" w:rsidRPr="00700448" w:rsidRDefault="00BB4E79" w:rsidP="00440204">
      <w:pPr>
        <w:ind w:left="1080"/>
        <w:jc w:val="both"/>
        <w:rPr>
          <w:rFonts w:ascii="Verdana" w:hAnsi="Verdana"/>
        </w:rPr>
      </w:pPr>
    </w:p>
    <w:p w:rsidR="00BB4E79" w:rsidRPr="00700448" w:rsidRDefault="009C6C63" w:rsidP="00BB4E79">
      <w:pPr>
        <w:ind w:left="1080"/>
        <w:jc w:val="both"/>
        <w:rPr>
          <w:rFonts w:ascii="Verdana" w:hAnsi="Verdana"/>
        </w:rPr>
      </w:pPr>
      <w:r>
        <w:rPr>
          <w:rFonts w:ascii="Verdana" w:hAnsi="Verdana"/>
        </w:rPr>
        <w:t xml:space="preserve">Efter en grundig gennemgang af selskabets årsrapport kan medlemmet </w:t>
      </w:r>
      <w:r w:rsidR="00BB4E79" w:rsidRPr="00700448">
        <w:rPr>
          <w:rFonts w:ascii="Verdana" w:hAnsi="Verdana"/>
        </w:rPr>
        <w:t>supplere med andre spørgsmål og kommentarer vedr. selskabets forhold som er relevante for den specifikke general</w:t>
      </w:r>
      <w:r>
        <w:rPr>
          <w:rFonts w:ascii="Verdana" w:hAnsi="Verdana"/>
        </w:rPr>
        <w:t>forsamling.</w:t>
      </w:r>
    </w:p>
    <w:p w:rsidR="00BB4E79" w:rsidRPr="00700448" w:rsidRDefault="00BB4E79" w:rsidP="00440204">
      <w:pPr>
        <w:ind w:left="1080"/>
        <w:jc w:val="both"/>
        <w:rPr>
          <w:rFonts w:ascii="Verdana" w:hAnsi="Verdana"/>
        </w:rPr>
      </w:pPr>
    </w:p>
    <w:p w:rsidR="00086BCB" w:rsidRPr="00700448" w:rsidRDefault="00086BCB" w:rsidP="00BB4E79">
      <w:pPr>
        <w:pStyle w:val="Brdtekst"/>
        <w:ind w:left="1080"/>
        <w:rPr>
          <w:rFonts w:ascii="Verdana" w:hAnsi="Verdana"/>
          <w:sz w:val="20"/>
        </w:rPr>
      </w:pPr>
      <w:r w:rsidRPr="00700448">
        <w:rPr>
          <w:rFonts w:ascii="Verdana" w:hAnsi="Verdana"/>
          <w:sz w:val="20"/>
        </w:rPr>
        <w:t>DAF</w:t>
      </w:r>
      <w:r w:rsidR="009C6C63">
        <w:rPr>
          <w:rFonts w:ascii="Verdana" w:hAnsi="Verdana"/>
          <w:sz w:val="20"/>
        </w:rPr>
        <w:t>’s bestyrelse prioriterer de selskaber som foreningen ønsker at være repræsenteret på og i særlige tilfælde af hvilke medlemmer af udvalget.</w:t>
      </w:r>
    </w:p>
    <w:p w:rsidR="00BB4E79" w:rsidRPr="00700448" w:rsidRDefault="00BB4E79" w:rsidP="00BB4E79">
      <w:pPr>
        <w:pStyle w:val="Brdtekst"/>
        <w:ind w:left="1080"/>
        <w:rPr>
          <w:rFonts w:ascii="Verdana" w:hAnsi="Verdana"/>
          <w:sz w:val="20"/>
        </w:rPr>
      </w:pPr>
    </w:p>
    <w:p w:rsidR="00BB4E79" w:rsidRPr="00700448" w:rsidRDefault="00BB4E79" w:rsidP="00BB4E79">
      <w:pPr>
        <w:pStyle w:val="Brdtekst"/>
        <w:ind w:left="1080"/>
        <w:rPr>
          <w:rFonts w:ascii="Verdana" w:hAnsi="Verdana"/>
          <w:sz w:val="20"/>
        </w:rPr>
      </w:pPr>
      <w:r w:rsidRPr="00700448">
        <w:rPr>
          <w:rFonts w:ascii="Verdana" w:hAnsi="Verdana"/>
          <w:sz w:val="20"/>
        </w:rPr>
        <w:t>Medlemmer a</w:t>
      </w:r>
      <w:r w:rsidR="00A05D61">
        <w:rPr>
          <w:rFonts w:ascii="Verdana" w:hAnsi="Verdana"/>
          <w:sz w:val="20"/>
        </w:rPr>
        <w:t>f udvalget skal i god tid - min. 1 uge inden afviklingen af generalforsamlingen - (jfr. i øvrigt udvalgets arbejdsprocedure)</w:t>
      </w:r>
      <w:r w:rsidRPr="00700448">
        <w:rPr>
          <w:rFonts w:ascii="Verdana" w:hAnsi="Verdana"/>
          <w:sz w:val="20"/>
        </w:rPr>
        <w:t xml:space="preserve"> indsende deres talepapir til godkendelse hos formanden for udvalget samt formanden for bestyrelsen, respektive foreningens direktør.</w:t>
      </w:r>
    </w:p>
    <w:p w:rsidR="00BB4E79" w:rsidRPr="00700448" w:rsidRDefault="00BB4E79" w:rsidP="00BB4E79">
      <w:pPr>
        <w:pStyle w:val="Brdtekst"/>
        <w:ind w:left="1080"/>
        <w:rPr>
          <w:rFonts w:ascii="Verdana" w:hAnsi="Verdana"/>
          <w:sz w:val="20"/>
        </w:rPr>
      </w:pPr>
    </w:p>
    <w:p w:rsidR="00BB4E79" w:rsidRPr="00700448" w:rsidRDefault="00BB4E79" w:rsidP="00BB4E79">
      <w:pPr>
        <w:pStyle w:val="Brdtekst"/>
        <w:ind w:left="1080"/>
        <w:rPr>
          <w:rFonts w:ascii="Verdana" w:hAnsi="Verdana"/>
          <w:sz w:val="20"/>
        </w:rPr>
      </w:pPr>
      <w:r w:rsidRPr="00700448">
        <w:rPr>
          <w:rFonts w:ascii="Verdana" w:hAnsi="Verdana"/>
          <w:sz w:val="20"/>
        </w:rPr>
        <w:t>Modtager udvalgsmedlemmerne ingen kommentarer til talepapiret forinden generalforsamlingen kan medlemmerne betragte talepapiret som godkendt og brugbart som DAF’s indlæg på generalforsamlingen.</w:t>
      </w:r>
    </w:p>
    <w:p w:rsidR="00BB4E79" w:rsidRPr="00700448" w:rsidRDefault="00BB4E79" w:rsidP="00BB4E79">
      <w:pPr>
        <w:pStyle w:val="Brdtekst"/>
        <w:ind w:left="1080"/>
        <w:rPr>
          <w:rFonts w:ascii="Verdana" w:hAnsi="Verdana"/>
          <w:sz w:val="20"/>
        </w:rPr>
      </w:pPr>
    </w:p>
    <w:p w:rsidR="00440204" w:rsidRPr="00700448" w:rsidRDefault="00440204" w:rsidP="00BB4E79">
      <w:pPr>
        <w:ind w:left="1080"/>
        <w:jc w:val="both"/>
        <w:rPr>
          <w:rFonts w:ascii="Verdana" w:hAnsi="Verdana"/>
        </w:rPr>
      </w:pPr>
      <w:r w:rsidRPr="00700448">
        <w:rPr>
          <w:rFonts w:ascii="Verdana" w:hAnsi="Verdana"/>
        </w:rPr>
        <w:t xml:space="preserve">Ved manglende eller ufyldestgørende svar på </w:t>
      </w:r>
      <w:r w:rsidR="00AD4D25" w:rsidRPr="00700448">
        <w:rPr>
          <w:rFonts w:ascii="Verdana" w:hAnsi="Verdana"/>
        </w:rPr>
        <w:t>de af DAF på generalforsamlingen stillede spørgsmål, kan</w:t>
      </w:r>
      <w:r w:rsidRPr="00700448">
        <w:rPr>
          <w:rFonts w:ascii="Verdana" w:hAnsi="Verdana"/>
        </w:rPr>
        <w:t xml:space="preserve"> der rettes henvendelse til selskabet med henblik på at få tilfredsstillende svar.</w:t>
      </w:r>
    </w:p>
    <w:p w:rsidR="004877AE" w:rsidRPr="00700448" w:rsidRDefault="004877AE" w:rsidP="00BB4E79">
      <w:pPr>
        <w:ind w:left="1080"/>
        <w:jc w:val="both"/>
        <w:rPr>
          <w:rFonts w:ascii="Verdana" w:hAnsi="Verdana"/>
        </w:rPr>
      </w:pPr>
    </w:p>
    <w:p w:rsidR="004877AE" w:rsidRPr="00700448" w:rsidRDefault="004877AE" w:rsidP="00BB4E79">
      <w:pPr>
        <w:ind w:left="1080"/>
        <w:jc w:val="both"/>
        <w:rPr>
          <w:rFonts w:ascii="Verdana" w:hAnsi="Verdana"/>
        </w:rPr>
      </w:pPr>
      <w:r w:rsidRPr="00700448">
        <w:rPr>
          <w:rFonts w:ascii="Verdana" w:hAnsi="Verdana"/>
        </w:rPr>
        <w:t xml:space="preserve">Bliver medlemmet efter generalforsamlingen kontaktet af pressen for kommentarer til forløbet af generalforsamlingen el. lign. er medlemmet bemyndiget til på DAF’s vegne at udtale sig - dog begrænset til kommentarer eller supplement vedr. </w:t>
      </w:r>
      <w:r w:rsidR="00845DDA" w:rsidRPr="00700448">
        <w:rPr>
          <w:rFonts w:ascii="Verdana" w:hAnsi="Verdana"/>
        </w:rPr>
        <w:t xml:space="preserve">indholdet i </w:t>
      </w:r>
      <w:r w:rsidRPr="00700448">
        <w:rPr>
          <w:rFonts w:ascii="Verdana" w:hAnsi="Verdana"/>
        </w:rPr>
        <w:t>det godkendte talepapir.</w:t>
      </w:r>
    </w:p>
    <w:p w:rsidR="002515FB" w:rsidRPr="00700448" w:rsidRDefault="002515FB" w:rsidP="00440204">
      <w:pPr>
        <w:ind w:left="1080"/>
        <w:jc w:val="both"/>
        <w:rPr>
          <w:rFonts w:ascii="Verdana" w:hAnsi="Verdana"/>
          <w:sz w:val="24"/>
          <w:szCs w:val="24"/>
        </w:rPr>
      </w:pPr>
    </w:p>
    <w:p w:rsidR="002515FB" w:rsidRPr="00700448" w:rsidRDefault="002515FB" w:rsidP="00440204">
      <w:pPr>
        <w:ind w:left="1080"/>
        <w:jc w:val="both"/>
        <w:rPr>
          <w:rFonts w:ascii="Verdana" w:hAnsi="Verdana"/>
          <w:sz w:val="24"/>
          <w:szCs w:val="24"/>
        </w:rPr>
      </w:pPr>
    </w:p>
    <w:p w:rsidR="00886A6D" w:rsidRPr="00700448" w:rsidRDefault="00886A6D" w:rsidP="00886A6D">
      <w:pPr>
        <w:jc w:val="both"/>
        <w:rPr>
          <w:rFonts w:ascii="Verdana" w:hAnsi="Verdana"/>
          <w:sz w:val="24"/>
          <w:szCs w:val="24"/>
        </w:rPr>
      </w:pPr>
    </w:p>
    <w:p w:rsidR="00886A6D" w:rsidRPr="00700448" w:rsidRDefault="00886A6D" w:rsidP="00886A6D">
      <w:pPr>
        <w:jc w:val="both"/>
        <w:rPr>
          <w:rFonts w:ascii="Verdana" w:hAnsi="Verdana"/>
          <w:sz w:val="24"/>
          <w:szCs w:val="24"/>
        </w:rPr>
      </w:pPr>
    </w:p>
    <w:p w:rsidR="00886A6D" w:rsidRPr="00700448" w:rsidRDefault="00886A6D" w:rsidP="00886A6D">
      <w:pPr>
        <w:pStyle w:val="Listeafsnit"/>
        <w:numPr>
          <w:ilvl w:val="0"/>
          <w:numId w:val="2"/>
        </w:numPr>
        <w:jc w:val="both"/>
        <w:rPr>
          <w:rFonts w:ascii="Verdana" w:hAnsi="Verdana"/>
          <w:b/>
          <w:sz w:val="22"/>
          <w:szCs w:val="22"/>
        </w:rPr>
      </w:pPr>
      <w:r w:rsidRPr="00700448">
        <w:rPr>
          <w:rFonts w:ascii="Verdana" w:hAnsi="Verdana"/>
          <w:b/>
          <w:sz w:val="22"/>
          <w:szCs w:val="22"/>
        </w:rPr>
        <w:t>Udvalgets organisering.</w:t>
      </w:r>
    </w:p>
    <w:p w:rsidR="002515FB" w:rsidRPr="00700448" w:rsidRDefault="002515FB" w:rsidP="002515FB">
      <w:pPr>
        <w:jc w:val="both"/>
        <w:rPr>
          <w:rFonts w:ascii="Verdana" w:hAnsi="Verdana"/>
          <w:b/>
        </w:rPr>
      </w:pPr>
    </w:p>
    <w:p w:rsidR="002515FB" w:rsidRPr="00700448" w:rsidRDefault="002515FB" w:rsidP="002515FB">
      <w:pPr>
        <w:ind w:left="1080"/>
        <w:jc w:val="both"/>
        <w:rPr>
          <w:rFonts w:ascii="Verdana" w:hAnsi="Verdana"/>
        </w:rPr>
      </w:pPr>
      <w:r w:rsidRPr="00700448">
        <w:rPr>
          <w:rFonts w:ascii="Verdana" w:hAnsi="Verdana"/>
        </w:rPr>
        <w:t>Udvalget består af op til 40 medlemmer. Udvalget er selvsupplerende og kan indbyde interesserede medlemmer af DAF til at blive medlem af udvalget og til at repræsentere DAF p</w:t>
      </w:r>
      <w:r w:rsidR="00A05D61">
        <w:rPr>
          <w:rFonts w:ascii="Verdana" w:hAnsi="Verdana"/>
        </w:rPr>
        <w:t>å de valgte generalforsamlinger efter forudgående uddannelse og træning.</w:t>
      </w:r>
    </w:p>
    <w:p w:rsidR="002A3F18" w:rsidRPr="00700448" w:rsidRDefault="002A3F18" w:rsidP="002515FB">
      <w:pPr>
        <w:ind w:left="1080"/>
        <w:jc w:val="both"/>
        <w:rPr>
          <w:rFonts w:ascii="Verdana" w:hAnsi="Verdana"/>
        </w:rPr>
      </w:pPr>
    </w:p>
    <w:p w:rsidR="002A3F18" w:rsidRPr="00700448" w:rsidRDefault="002A3F18" w:rsidP="00700448">
      <w:pPr>
        <w:ind w:left="1080"/>
        <w:jc w:val="both"/>
        <w:rPr>
          <w:rFonts w:ascii="Verdana" w:hAnsi="Verdana"/>
        </w:rPr>
      </w:pPr>
      <w:r w:rsidRPr="00700448">
        <w:rPr>
          <w:rFonts w:ascii="Verdana" w:hAnsi="Verdana"/>
        </w:rPr>
        <w:t>Udvalgets formand ka</w:t>
      </w:r>
      <w:r w:rsidR="00845DDA" w:rsidRPr="00700448">
        <w:rPr>
          <w:rFonts w:ascii="Verdana" w:hAnsi="Verdana"/>
        </w:rPr>
        <w:t>n til enhver tid bede et medlem</w:t>
      </w:r>
      <w:r w:rsidRPr="00700448">
        <w:rPr>
          <w:rFonts w:ascii="Verdana" w:hAnsi="Verdana"/>
        </w:rPr>
        <w:t xml:space="preserve"> om at fratræde udvalget.</w:t>
      </w:r>
    </w:p>
    <w:p w:rsidR="002A3F18" w:rsidRPr="00700448" w:rsidRDefault="002A3F18" w:rsidP="002515FB">
      <w:pPr>
        <w:ind w:left="1080"/>
        <w:jc w:val="both"/>
        <w:rPr>
          <w:rFonts w:ascii="Verdana" w:hAnsi="Verdana"/>
        </w:rPr>
      </w:pPr>
    </w:p>
    <w:p w:rsidR="002515FB" w:rsidRPr="00700448" w:rsidRDefault="002515FB" w:rsidP="002A3F18">
      <w:pPr>
        <w:ind w:left="1080"/>
        <w:jc w:val="both"/>
        <w:rPr>
          <w:rFonts w:ascii="Verdana" w:hAnsi="Verdana"/>
        </w:rPr>
      </w:pPr>
      <w:r w:rsidRPr="00700448">
        <w:rPr>
          <w:rFonts w:ascii="Verdana" w:hAnsi="Verdana"/>
        </w:rPr>
        <w:t xml:space="preserve">Foreningens bestyrelse vælger formanden for udvalget. Udvalget vælger selv sin næstformand. </w:t>
      </w:r>
    </w:p>
    <w:p w:rsidR="004877AE" w:rsidRPr="00700448" w:rsidRDefault="004877AE" w:rsidP="002515FB">
      <w:pPr>
        <w:ind w:left="1080"/>
        <w:jc w:val="both"/>
        <w:rPr>
          <w:rFonts w:ascii="Verdana" w:hAnsi="Verdana"/>
        </w:rPr>
      </w:pPr>
    </w:p>
    <w:p w:rsidR="002515FB" w:rsidRPr="00700448" w:rsidRDefault="002515FB" w:rsidP="004877AE">
      <w:pPr>
        <w:ind w:left="1080"/>
        <w:jc w:val="both"/>
        <w:rPr>
          <w:rFonts w:ascii="Verdana" w:hAnsi="Verdana"/>
        </w:rPr>
      </w:pPr>
      <w:r w:rsidRPr="00700448">
        <w:rPr>
          <w:rFonts w:ascii="Verdana" w:hAnsi="Verdana"/>
        </w:rPr>
        <w:t>Udvalget mødes 2 gange om året. Der kan afholdes yderligere møder, når formanden for udvalget finder det fornødent.</w:t>
      </w:r>
    </w:p>
    <w:p w:rsidR="004877AE" w:rsidRPr="00700448" w:rsidRDefault="004877AE" w:rsidP="004877AE">
      <w:pPr>
        <w:ind w:left="1080"/>
        <w:jc w:val="both"/>
        <w:rPr>
          <w:rFonts w:ascii="Verdana" w:hAnsi="Verdana"/>
        </w:rPr>
      </w:pPr>
    </w:p>
    <w:p w:rsidR="004877AE" w:rsidRPr="00700448" w:rsidRDefault="004877AE" w:rsidP="004877AE">
      <w:pPr>
        <w:ind w:left="1080"/>
        <w:jc w:val="both"/>
        <w:rPr>
          <w:rFonts w:ascii="Verdana" w:hAnsi="Verdana"/>
        </w:rPr>
      </w:pPr>
      <w:r w:rsidRPr="00700448">
        <w:rPr>
          <w:rFonts w:ascii="Verdana" w:hAnsi="Verdana"/>
        </w:rPr>
        <w:t>Formandskabet tilrettelægger møderne, udarbejder dagsorden herfor samt inviterer evt. gæster til at deltage som foredragsholdere</w:t>
      </w:r>
      <w:r w:rsidR="002A3F18" w:rsidRPr="00700448">
        <w:rPr>
          <w:rFonts w:ascii="Verdana" w:hAnsi="Verdana"/>
        </w:rPr>
        <w:t>.</w:t>
      </w:r>
      <w:r w:rsidRPr="00700448">
        <w:rPr>
          <w:rFonts w:ascii="Verdana" w:hAnsi="Verdana"/>
        </w:rPr>
        <w:t xml:space="preserve"> </w:t>
      </w:r>
    </w:p>
    <w:p w:rsidR="004877AE" w:rsidRPr="00700448" w:rsidRDefault="004877AE" w:rsidP="004877AE">
      <w:pPr>
        <w:ind w:left="1080"/>
        <w:jc w:val="both"/>
        <w:rPr>
          <w:rFonts w:ascii="Verdana" w:hAnsi="Verdana"/>
        </w:rPr>
      </w:pPr>
    </w:p>
    <w:p w:rsidR="004877AE" w:rsidRPr="00700448" w:rsidRDefault="004877AE" w:rsidP="004877AE">
      <w:pPr>
        <w:ind w:firstLine="1080"/>
        <w:jc w:val="both"/>
        <w:rPr>
          <w:rFonts w:ascii="Verdana" w:hAnsi="Verdana"/>
        </w:rPr>
      </w:pPr>
      <w:r w:rsidRPr="00700448">
        <w:rPr>
          <w:rFonts w:ascii="Verdana" w:hAnsi="Verdana"/>
        </w:rPr>
        <w:t>Sekretariatet deltager i udvalgets møder og skriver referat.</w:t>
      </w:r>
    </w:p>
    <w:p w:rsidR="00845DDA" w:rsidRPr="00700448" w:rsidRDefault="00845DDA" w:rsidP="004877AE">
      <w:pPr>
        <w:ind w:firstLine="1080"/>
        <w:jc w:val="both"/>
        <w:rPr>
          <w:rFonts w:ascii="Verdana" w:hAnsi="Verdana"/>
        </w:rPr>
      </w:pPr>
    </w:p>
    <w:p w:rsidR="00845DDA" w:rsidRPr="00700448" w:rsidRDefault="00845DDA" w:rsidP="00845DDA">
      <w:pPr>
        <w:ind w:left="1080"/>
        <w:jc w:val="both"/>
        <w:rPr>
          <w:rFonts w:ascii="Verdana" w:hAnsi="Verdana"/>
        </w:rPr>
      </w:pPr>
      <w:r w:rsidRPr="00700448">
        <w:rPr>
          <w:rFonts w:ascii="Verdana" w:hAnsi="Verdana"/>
        </w:rPr>
        <w:t>Foreningens bestyrelse tager en gang årligt stilling til de økonomiske rammer som udvalget kan disponere over.</w:t>
      </w:r>
    </w:p>
    <w:p w:rsidR="002A3F18" w:rsidRPr="00700448" w:rsidRDefault="002A3F18" w:rsidP="004877AE">
      <w:pPr>
        <w:ind w:firstLine="1080"/>
        <w:jc w:val="both"/>
        <w:rPr>
          <w:rFonts w:ascii="Verdana" w:hAnsi="Verdana"/>
          <w:sz w:val="24"/>
          <w:szCs w:val="24"/>
        </w:rPr>
      </w:pPr>
    </w:p>
    <w:p w:rsidR="002A3F18" w:rsidRPr="00700448" w:rsidRDefault="002A3F18" w:rsidP="002A3F18">
      <w:pPr>
        <w:jc w:val="both"/>
        <w:rPr>
          <w:rFonts w:ascii="Verdana" w:hAnsi="Verdana"/>
          <w:sz w:val="24"/>
          <w:szCs w:val="24"/>
        </w:rPr>
      </w:pPr>
    </w:p>
    <w:p w:rsidR="002A3F18" w:rsidRPr="00700448" w:rsidRDefault="002A3F18" w:rsidP="002A3F18">
      <w:pPr>
        <w:jc w:val="both"/>
        <w:rPr>
          <w:rFonts w:ascii="Verdana" w:hAnsi="Verdana"/>
          <w:sz w:val="24"/>
          <w:szCs w:val="24"/>
        </w:rPr>
      </w:pPr>
    </w:p>
    <w:p w:rsidR="002A3F18" w:rsidRPr="00700448" w:rsidRDefault="002A3F18" w:rsidP="002A3F18">
      <w:pPr>
        <w:pStyle w:val="Listeafsnit"/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 w:rsidRPr="00700448">
        <w:rPr>
          <w:rFonts w:ascii="Verdana" w:hAnsi="Verdana"/>
          <w:b/>
          <w:sz w:val="22"/>
          <w:szCs w:val="22"/>
        </w:rPr>
        <w:t>Rapportering</w:t>
      </w:r>
      <w:r w:rsidRPr="00700448">
        <w:rPr>
          <w:rFonts w:ascii="Verdana" w:hAnsi="Verdana"/>
          <w:b/>
          <w:sz w:val="24"/>
          <w:szCs w:val="24"/>
        </w:rPr>
        <w:t>.</w:t>
      </w:r>
    </w:p>
    <w:p w:rsidR="002A3F18" w:rsidRPr="00700448" w:rsidRDefault="002A3F18" w:rsidP="002A3F18">
      <w:pPr>
        <w:pStyle w:val="Listeafsnit"/>
        <w:ind w:left="1080"/>
        <w:jc w:val="both"/>
        <w:rPr>
          <w:rFonts w:ascii="Verdana" w:hAnsi="Verdana"/>
          <w:b/>
          <w:sz w:val="24"/>
          <w:szCs w:val="24"/>
        </w:rPr>
      </w:pPr>
    </w:p>
    <w:p w:rsidR="002A3F18" w:rsidRPr="00700448" w:rsidRDefault="002A3F18" w:rsidP="002A3F18">
      <w:pPr>
        <w:pStyle w:val="Listeafsnit"/>
        <w:ind w:left="1080"/>
        <w:jc w:val="both"/>
        <w:rPr>
          <w:rFonts w:ascii="Verdana" w:hAnsi="Verdana"/>
        </w:rPr>
      </w:pPr>
      <w:r w:rsidRPr="00700448">
        <w:rPr>
          <w:rFonts w:ascii="Verdana" w:hAnsi="Verdana"/>
        </w:rPr>
        <w:t>Udvalget rapporterer til DAF’s bestyrelse.</w:t>
      </w:r>
    </w:p>
    <w:p w:rsidR="002A3F18" w:rsidRPr="00700448" w:rsidRDefault="002A3F18" w:rsidP="002A3F18">
      <w:pPr>
        <w:pStyle w:val="Listeafsnit"/>
        <w:ind w:left="1080"/>
        <w:jc w:val="both"/>
        <w:rPr>
          <w:rFonts w:ascii="Verdana" w:hAnsi="Verdana"/>
        </w:rPr>
      </w:pPr>
    </w:p>
    <w:p w:rsidR="002A3F18" w:rsidRPr="00700448" w:rsidRDefault="002A3F18" w:rsidP="002A3F18">
      <w:pPr>
        <w:pStyle w:val="Listeafsnit"/>
        <w:ind w:left="1080"/>
        <w:jc w:val="both"/>
        <w:rPr>
          <w:rFonts w:ascii="Verdana" w:hAnsi="Verdana"/>
        </w:rPr>
      </w:pPr>
      <w:r w:rsidRPr="00700448">
        <w:rPr>
          <w:rFonts w:ascii="Verdana" w:hAnsi="Verdana"/>
        </w:rPr>
        <w:t>Indlæg på en generalforsamling arkiveres i en database oprettet af sekretariatet med oplysninger om de svar som selskabets ledelse har givet på indlægget.</w:t>
      </w:r>
    </w:p>
    <w:p w:rsidR="002A3F18" w:rsidRPr="00700448" w:rsidRDefault="002A3F18" w:rsidP="002A3F18">
      <w:pPr>
        <w:pStyle w:val="Listeafsnit"/>
        <w:ind w:left="1080"/>
        <w:jc w:val="both"/>
        <w:rPr>
          <w:rFonts w:ascii="Verdana" w:hAnsi="Verdana"/>
        </w:rPr>
      </w:pPr>
    </w:p>
    <w:p w:rsidR="002A3F18" w:rsidRPr="00700448" w:rsidRDefault="002A3F18" w:rsidP="002A3F18">
      <w:pPr>
        <w:pStyle w:val="Listeafsnit"/>
        <w:ind w:left="1080"/>
        <w:jc w:val="both"/>
        <w:rPr>
          <w:rFonts w:ascii="Verdana" w:hAnsi="Verdana"/>
        </w:rPr>
      </w:pPr>
    </w:p>
    <w:p w:rsidR="002A3F18" w:rsidRPr="00700448" w:rsidRDefault="002A3F18" w:rsidP="002A3F18">
      <w:pPr>
        <w:pStyle w:val="Listeafsnit"/>
        <w:ind w:left="1080"/>
        <w:jc w:val="both"/>
        <w:rPr>
          <w:rFonts w:ascii="Verdana" w:hAnsi="Verdana"/>
        </w:rPr>
      </w:pPr>
    </w:p>
    <w:p w:rsidR="002A3F18" w:rsidRPr="00700448" w:rsidRDefault="002A3F18" w:rsidP="002A3F18">
      <w:pPr>
        <w:pStyle w:val="Listeafsnit"/>
        <w:ind w:left="1080"/>
        <w:jc w:val="both"/>
        <w:rPr>
          <w:rFonts w:ascii="Verdana" w:hAnsi="Verdana"/>
        </w:rPr>
      </w:pPr>
      <w:r w:rsidRPr="00700448">
        <w:rPr>
          <w:rFonts w:ascii="Verdana" w:hAnsi="Verdana"/>
        </w:rPr>
        <w:t>Kommissorium revideret</w:t>
      </w:r>
    </w:p>
    <w:p w:rsidR="002A3F18" w:rsidRPr="00700448" w:rsidRDefault="00A05D61" w:rsidP="002A3F18">
      <w:pPr>
        <w:pStyle w:val="Listeafsnit"/>
        <w:ind w:left="1080"/>
        <w:jc w:val="both"/>
        <w:rPr>
          <w:rFonts w:ascii="Verdana" w:hAnsi="Verdana"/>
        </w:rPr>
      </w:pPr>
      <w:r>
        <w:rPr>
          <w:rFonts w:ascii="Verdana" w:hAnsi="Verdana"/>
        </w:rPr>
        <w:t xml:space="preserve">April </w:t>
      </w:r>
      <w:r w:rsidR="002A3F18" w:rsidRPr="00700448">
        <w:rPr>
          <w:rFonts w:ascii="Verdana" w:hAnsi="Verdana"/>
        </w:rPr>
        <w:t>2016</w:t>
      </w:r>
    </w:p>
    <w:p w:rsidR="002A3F18" w:rsidRPr="00700448" w:rsidRDefault="00A91C37" w:rsidP="002A3F18">
      <w:pPr>
        <w:pStyle w:val="Listeafsnit"/>
        <w:ind w:left="1080"/>
        <w:jc w:val="both"/>
        <w:rPr>
          <w:rFonts w:ascii="Verdana" w:hAnsi="Verdana"/>
        </w:rPr>
      </w:pPr>
      <w:r>
        <w:rPr>
          <w:rFonts w:ascii="Verdana" w:hAnsi="Verdana"/>
        </w:rPr>
        <w:t>N</w:t>
      </w:r>
      <w:r w:rsidR="002A3F18" w:rsidRPr="00700448">
        <w:rPr>
          <w:rFonts w:ascii="Verdana" w:hAnsi="Verdana"/>
        </w:rPr>
        <w:t>CA og JAA</w:t>
      </w:r>
    </w:p>
    <w:p w:rsidR="002A3F18" w:rsidRPr="00700448" w:rsidRDefault="002A3F18" w:rsidP="002A3F18">
      <w:pPr>
        <w:pStyle w:val="Listeafsnit"/>
        <w:ind w:left="1080"/>
        <w:jc w:val="both"/>
        <w:rPr>
          <w:rFonts w:ascii="Verdana" w:hAnsi="Verdana"/>
          <w:sz w:val="24"/>
          <w:szCs w:val="24"/>
        </w:rPr>
      </w:pPr>
    </w:p>
    <w:p w:rsidR="002515FB" w:rsidRPr="00700448" w:rsidRDefault="002515FB" w:rsidP="002515FB">
      <w:pPr>
        <w:jc w:val="both"/>
        <w:rPr>
          <w:rFonts w:ascii="Verdana" w:hAnsi="Verdana"/>
          <w:sz w:val="28"/>
        </w:rPr>
      </w:pPr>
    </w:p>
    <w:p w:rsidR="002515FB" w:rsidRPr="00700448" w:rsidRDefault="002515FB" w:rsidP="002515FB">
      <w:pPr>
        <w:jc w:val="both"/>
        <w:rPr>
          <w:rFonts w:ascii="Verdana" w:hAnsi="Verdana"/>
          <w:sz w:val="28"/>
        </w:rPr>
      </w:pPr>
    </w:p>
    <w:p w:rsidR="002515FB" w:rsidRPr="00700448" w:rsidRDefault="002515FB" w:rsidP="002515FB">
      <w:pPr>
        <w:ind w:left="1080"/>
        <w:jc w:val="both"/>
        <w:rPr>
          <w:rFonts w:ascii="Verdana" w:hAnsi="Verdana"/>
          <w:sz w:val="24"/>
          <w:szCs w:val="24"/>
        </w:rPr>
      </w:pPr>
    </w:p>
    <w:p w:rsidR="002515FB" w:rsidRPr="00700448" w:rsidRDefault="002515FB" w:rsidP="002515FB">
      <w:pPr>
        <w:ind w:left="1080"/>
        <w:jc w:val="both"/>
        <w:rPr>
          <w:rFonts w:ascii="Verdana" w:hAnsi="Verdana"/>
          <w:sz w:val="24"/>
          <w:szCs w:val="24"/>
        </w:rPr>
      </w:pPr>
    </w:p>
    <w:p w:rsidR="00886A6D" w:rsidRPr="00700448" w:rsidRDefault="00886A6D" w:rsidP="00886A6D">
      <w:pPr>
        <w:pStyle w:val="Listeafsnit"/>
        <w:ind w:left="1080"/>
        <w:jc w:val="both"/>
        <w:rPr>
          <w:rFonts w:ascii="Verdana" w:hAnsi="Verdana"/>
          <w:b/>
          <w:sz w:val="24"/>
          <w:szCs w:val="24"/>
        </w:rPr>
      </w:pPr>
    </w:p>
    <w:p w:rsidR="00886A6D" w:rsidRPr="00700448" w:rsidRDefault="00886A6D" w:rsidP="00886A6D">
      <w:pPr>
        <w:pStyle w:val="Listeafsnit"/>
        <w:ind w:left="1080"/>
        <w:jc w:val="both"/>
        <w:rPr>
          <w:rFonts w:ascii="Verdana" w:hAnsi="Verdana"/>
          <w:b/>
          <w:sz w:val="24"/>
          <w:szCs w:val="24"/>
        </w:rPr>
      </w:pPr>
    </w:p>
    <w:p w:rsidR="00440204" w:rsidRPr="00700448" w:rsidRDefault="00440204" w:rsidP="00440204">
      <w:pPr>
        <w:pStyle w:val="Brdtekst2"/>
        <w:ind w:left="1080"/>
        <w:rPr>
          <w:rFonts w:ascii="Verdana" w:hAnsi="Verdana"/>
          <w:b/>
          <w:szCs w:val="24"/>
        </w:rPr>
      </w:pPr>
    </w:p>
    <w:p w:rsidR="00440204" w:rsidRPr="00700448" w:rsidRDefault="00440204" w:rsidP="00440204">
      <w:pPr>
        <w:pStyle w:val="Brdtekst2"/>
        <w:ind w:left="1080"/>
        <w:rPr>
          <w:rFonts w:ascii="Verdana" w:hAnsi="Verdana"/>
          <w:b/>
          <w:szCs w:val="24"/>
        </w:rPr>
      </w:pPr>
    </w:p>
    <w:p w:rsidR="00440204" w:rsidRPr="00700448" w:rsidRDefault="00440204" w:rsidP="00440204">
      <w:pPr>
        <w:ind w:left="1080"/>
        <w:rPr>
          <w:rFonts w:ascii="Verdana" w:hAnsi="Verdana"/>
          <w:b/>
          <w:sz w:val="28"/>
          <w:szCs w:val="28"/>
        </w:rPr>
      </w:pPr>
    </w:p>
    <w:p w:rsidR="00440204" w:rsidRPr="00700448" w:rsidRDefault="00440204" w:rsidP="00440204">
      <w:pPr>
        <w:pStyle w:val="Listeafsnit"/>
        <w:ind w:left="1080"/>
        <w:rPr>
          <w:rFonts w:ascii="Verdana" w:hAnsi="Verdana"/>
          <w:b/>
          <w:sz w:val="24"/>
          <w:szCs w:val="24"/>
        </w:rPr>
      </w:pPr>
    </w:p>
    <w:p w:rsidR="00440204" w:rsidRPr="00700448" w:rsidRDefault="00440204" w:rsidP="00440204">
      <w:pPr>
        <w:pStyle w:val="Listeafsnit"/>
        <w:ind w:left="1080"/>
        <w:rPr>
          <w:rFonts w:ascii="Verdana" w:hAnsi="Verdana"/>
          <w:sz w:val="28"/>
          <w:szCs w:val="28"/>
        </w:rPr>
      </w:pPr>
    </w:p>
    <w:p w:rsidR="00440204" w:rsidRPr="00700448" w:rsidRDefault="00440204" w:rsidP="00440204">
      <w:pPr>
        <w:jc w:val="both"/>
        <w:rPr>
          <w:rFonts w:ascii="Verdana" w:hAnsi="Verdana"/>
          <w:b/>
          <w:sz w:val="24"/>
        </w:rPr>
      </w:pPr>
    </w:p>
    <w:p w:rsidR="00440204" w:rsidRPr="00700448" w:rsidRDefault="00440204" w:rsidP="00440204">
      <w:pPr>
        <w:jc w:val="both"/>
        <w:rPr>
          <w:rFonts w:ascii="Verdana" w:hAnsi="Verdana"/>
          <w:b/>
          <w:sz w:val="24"/>
        </w:rPr>
      </w:pPr>
    </w:p>
    <w:p w:rsidR="00440204" w:rsidRPr="00700448" w:rsidRDefault="00440204" w:rsidP="00440204">
      <w:pPr>
        <w:jc w:val="both"/>
        <w:rPr>
          <w:rFonts w:ascii="Verdana" w:hAnsi="Verdana"/>
          <w:sz w:val="28"/>
        </w:rPr>
      </w:pPr>
    </w:p>
    <w:p w:rsidR="008E5F07" w:rsidRPr="00700448" w:rsidRDefault="008E5F07">
      <w:pPr>
        <w:rPr>
          <w:rFonts w:ascii="Verdana" w:hAnsi="Verdana"/>
          <w:sz w:val="24"/>
          <w:szCs w:val="24"/>
        </w:rPr>
      </w:pPr>
    </w:p>
    <w:sectPr w:rsidR="008E5F07" w:rsidRPr="00700448" w:rsidSect="00D74845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029CC"/>
    <w:multiLevelType w:val="hybridMultilevel"/>
    <w:tmpl w:val="6EAC45D4"/>
    <w:lvl w:ilvl="0" w:tplc="63C4EC0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B74E95"/>
    <w:multiLevelType w:val="hybridMultilevel"/>
    <w:tmpl w:val="BC56BA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04"/>
    <w:rsid w:val="00086BCB"/>
    <w:rsid w:val="001319DD"/>
    <w:rsid w:val="002515FB"/>
    <w:rsid w:val="002A3F18"/>
    <w:rsid w:val="00440204"/>
    <w:rsid w:val="004877AE"/>
    <w:rsid w:val="0051018C"/>
    <w:rsid w:val="00700448"/>
    <w:rsid w:val="00845DDA"/>
    <w:rsid w:val="00886A6D"/>
    <w:rsid w:val="008E5F07"/>
    <w:rsid w:val="009C6C63"/>
    <w:rsid w:val="00A05D61"/>
    <w:rsid w:val="00A91C37"/>
    <w:rsid w:val="00AD4D25"/>
    <w:rsid w:val="00BB4E79"/>
    <w:rsid w:val="00D53CE3"/>
    <w:rsid w:val="00D74845"/>
    <w:rsid w:val="00E10D99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28C61-EFC9-4841-8EC8-E94F9480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semiHidden/>
    <w:rsid w:val="00440204"/>
    <w:pPr>
      <w:jc w:val="both"/>
    </w:pPr>
    <w:rPr>
      <w:sz w:val="28"/>
    </w:rPr>
  </w:style>
  <w:style w:type="character" w:customStyle="1" w:styleId="BrdtekstTegn">
    <w:name w:val="Brødtekst Tegn"/>
    <w:basedOn w:val="Standardskrifttypeiafsnit"/>
    <w:link w:val="Brdtekst"/>
    <w:semiHidden/>
    <w:rsid w:val="00440204"/>
    <w:rPr>
      <w:rFonts w:ascii="Times New Roman" w:eastAsia="Times New Roman" w:hAnsi="Times New Roman" w:cs="Times New Roman"/>
      <w:sz w:val="28"/>
      <w:szCs w:val="20"/>
      <w:lang w:eastAsia="da-DK"/>
    </w:rPr>
  </w:style>
  <w:style w:type="paragraph" w:styleId="Brdtekst2">
    <w:name w:val="Body Text 2"/>
    <w:basedOn w:val="Normal"/>
    <w:link w:val="Brdtekst2Tegn"/>
    <w:semiHidden/>
    <w:rsid w:val="00440204"/>
    <w:pPr>
      <w:jc w:val="both"/>
    </w:pPr>
    <w:rPr>
      <w:sz w:val="24"/>
    </w:rPr>
  </w:style>
  <w:style w:type="character" w:customStyle="1" w:styleId="Brdtekst2Tegn">
    <w:name w:val="Brødtekst 2 Tegn"/>
    <w:basedOn w:val="Standardskrifttypeiafsnit"/>
    <w:link w:val="Brdtekst2"/>
    <w:semiHidden/>
    <w:rsid w:val="00440204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440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3F57A99CD83144B0AEE6860AD67FC9" ma:contentTypeVersion="3" ma:contentTypeDescription="Opret et nyt dokument." ma:contentTypeScope="" ma:versionID="22eafd0fa1572aca31bfeb5ff73abd13">
  <xsd:schema xmlns:xsd="http://www.w3.org/2001/XMLSchema" xmlns:xs="http://www.w3.org/2001/XMLSchema" xmlns:p="http://schemas.microsoft.com/office/2006/metadata/properties" xmlns:ns2="b8534e9e-2bf8-4ac7-aed6-6445e2ea3fcf" targetNamespace="http://schemas.microsoft.com/office/2006/metadata/properties" ma:root="true" ma:fieldsID="d775efe659875697f09c09cd60e7ff36" ns2:_="">
    <xsd:import namespace="b8534e9e-2bf8-4ac7-aed6-6445e2ea3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34e9e-2bf8-4ac7-aed6-6445e2ea3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CE9AD6-0275-4CA3-AD7C-A72A17EBBE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B7A9FA-CFC5-43F5-B57F-C8E94900F621}"/>
</file>

<file path=customXml/itemProps3.xml><?xml version="1.0" encoding="utf-8"?>
<ds:datastoreItem xmlns:ds="http://schemas.openxmlformats.org/officeDocument/2006/customXml" ds:itemID="{19966E14-2486-4146-A991-E047B3F60D59}"/>
</file>

<file path=customXml/itemProps4.xml><?xml version="1.0" encoding="utf-8"?>
<ds:datastoreItem xmlns:ds="http://schemas.openxmlformats.org/officeDocument/2006/customXml" ds:itemID="{9E7D004A-EC96-4742-BA0E-3858A7D39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LP</cp:lastModifiedBy>
  <cp:revision>2</cp:revision>
  <cp:lastPrinted>2016-04-11T14:04:00Z</cp:lastPrinted>
  <dcterms:created xsi:type="dcterms:W3CDTF">2016-11-02T13:00:00Z</dcterms:created>
  <dcterms:modified xsi:type="dcterms:W3CDTF">2016-11-02T13:00:00Z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0x010100EF3F57A99CD83144B0AEE6860AD67FC9</vt:lpwstr>
  </property>
  <property fmtid="{D5CDD505-2E9C-101B-9397-08002B2CF9AE}" pid="3" name="Order">
    <vt:r8>1019400</vt:r8>
  </property>
</Properties>
</file>